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lineRule="auto" w:line="240" w:before="0" w:after="0"/>
        <w:jc w:val="right"/>
        <w:rPr/>
      </w:pPr>
      <w:hyperlink r:id="rId2">
        <w:r>
          <w:rPr>
            <w:rFonts w:ascii="Times New Roman" w:hAnsi="Times New Roman"/>
            <w:b w:val="false"/>
            <w:color w:val="000000"/>
            <w:sz w:val="28"/>
          </w:rPr>
          <w:t>Приложение №</w:t>
        </w:r>
        <w:r>
          <w:rPr>
            <w:rFonts w:ascii="Times New Roman" w:hAnsi="Times New Roman"/>
            <w:b w:val="false"/>
            <w:color w:val="000000"/>
            <w:sz w:val="28"/>
            <w:lang w:val="en-US"/>
          </w:rPr>
          <w:t>2</w:t>
        </w:r>
      </w:hyperlink>
      <w:r>
        <w:rPr>
          <w:rFonts w:ascii="Times New Roman" w:hAnsi="Times New Roman"/>
          <w:b w:val="false"/>
          <w:color w:val="000000"/>
          <w:sz w:val="28"/>
        </w:rPr>
        <w:t xml:space="preserve"> к приказу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«О противодействии коррупции»</w:t>
      </w:r>
    </w:p>
    <w:p>
      <w:pPr>
        <w:pStyle w:val="Normal"/>
        <w:spacing w:lineRule="auto" w:line="276"/>
        <w:ind w:left="0" w:right="0" w:hanging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0" w:name="sub_20002"/>
      <w:bookmarkStart w:id="1" w:name="sub_20001"/>
      <w:bookmarkStart w:id="2" w:name="sub_20002"/>
      <w:bookmarkStart w:id="3" w:name="sub_20001"/>
      <w:bookmarkEnd w:id="2"/>
      <w:bookmarkEnd w:id="3"/>
    </w:p>
    <w:p>
      <w:pPr>
        <w:pStyle w:val="1"/>
        <w:spacing w:lineRule="auto" w:line="240"/>
        <w:ind w:left="0" w:right="0" w:hanging="0"/>
        <w:rPr/>
      </w:pPr>
      <w:r>
        <w:rPr>
          <w:rFonts w:ascii="Times New Roman" w:hAnsi="Times New Roman"/>
          <w:color w:val="000000"/>
          <w:sz w:val="28"/>
          <w:szCs w:val="28"/>
        </w:rPr>
        <w:t>Перечень</w:t>
        <w:br/>
        <w:t>функций Территориального фонда обязательного медицинского страхования Республики Саха (Якутия), при реализации которых возможно возникновение коррупционных рисков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ind w:left="0" w:right="0" w:firstLine="720"/>
        <w:rPr>
          <w:color w:val="000000"/>
        </w:rPr>
      </w:pPr>
      <w:bookmarkStart w:id="4" w:name="sub_1038"/>
      <w:bookmarkEnd w:id="4"/>
      <w:r>
        <w:rPr>
          <w:rFonts w:ascii="Times New Roman" w:hAnsi="Times New Roman"/>
          <w:color w:val="000000"/>
          <w:sz w:val="28"/>
          <w:szCs w:val="28"/>
        </w:rPr>
        <w:t>1. Составление проекта и внесение изменений в закон Республики Саха (Якутия) о бюджете Территориального фонда обязательного медицинского страхования Республики Саха (Якутия) (далее — ТФОМС РС(Я)) на календарный год и плановый период.</w:t>
      </w:r>
    </w:p>
    <w:p>
      <w:pPr>
        <w:pStyle w:val="Normal"/>
        <w:ind w:left="0" w:right="0" w:firstLine="720"/>
        <w:rPr>
          <w:color w:val="000000"/>
        </w:rPr>
      </w:pPr>
      <w:bookmarkStart w:id="5" w:name="sub_10391"/>
      <w:bookmarkStart w:id="6" w:name="sub_1039"/>
      <w:bookmarkEnd w:id="5"/>
      <w:bookmarkEnd w:id="6"/>
      <w:r>
        <w:rPr>
          <w:rFonts w:ascii="Times New Roman" w:hAnsi="Times New Roman"/>
          <w:color w:val="000000"/>
          <w:sz w:val="28"/>
          <w:szCs w:val="28"/>
        </w:rPr>
        <w:t>2. Подготовка и принятие решений о распределении бюджетных ассигнований, субсидий, межбюджетных трансфертов.</w:t>
      </w:r>
    </w:p>
    <w:p>
      <w:pPr>
        <w:pStyle w:val="Normal"/>
        <w:ind w:left="0" w:right="0" w:firstLine="720"/>
        <w:rPr>
          <w:color w:val="000000"/>
        </w:rPr>
      </w:pPr>
      <w:bookmarkStart w:id="7" w:name="sub_10401"/>
      <w:bookmarkStart w:id="8" w:name="sub_1040"/>
      <w:bookmarkEnd w:id="7"/>
      <w:bookmarkEnd w:id="8"/>
      <w:r>
        <w:rPr>
          <w:rFonts w:ascii="Times New Roman" w:hAnsi="Times New Roman"/>
          <w:color w:val="000000"/>
          <w:sz w:val="28"/>
          <w:szCs w:val="28"/>
        </w:rPr>
        <w:t>3. Размещение временно свободных средств ТФОМС РС(Я).</w:t>
      </w:r>
    </w:p>
    <w:p>
      <w:pPr>
        <w:pStyle w:val="Normal"/>
        <w:ind w:left="0" w:right="0" w:firstLine="720"/>
        <w:rPr>
          <w:color w:val="000000"/>
        </w:rPr>
      </w:pPr>
      <w:bookmarkStart w:id="9" w:name="sub_10411"/>
      <w:bookmarkStart w:id="10" w:name="sub_1041"/>
      <w:bookmarkEnd w:id="9"/>
      <w:bookmarkEnd w:id="10"/>
      <w:r>
        <w:rPr>
          <w:rFonts w:ascii="Times New Roman" w:hAnsi="Times New Roman"/>
          <w:color w:val="000000"/>
          <w:sz w:val="28"/>
          <w:szCs w:val="28"/>
        </w:rPr>
        <w:t>4. Контрольная и ревизионная деятельность, в том числе контроль объемов, сроков, качества и условий предоставления медицинской помощи по обязательному медицинскому страхованию.</w:t>
      </w:r>
    </w:p>
    <w:p>
      <w:pPr>
        <w:pStyle w:val="Normal"/>
        <w:ind w:left="0" w:right="0" w:firstLine="720"/>
        <w:rPr>
          <w:color w:val="000000"/>
        </w:rPr>
      </w:pPr>
      <w:bookmarkStart w:id="11" w:name="sub_10421"/>
      <w:bookmarkStart w:id="12" w:name="sub_1042"/>
      <w:bookmarkEnd w:id="11"/>
      <w:bookmarkEnd w:id="12"/>
      <w:r>
        <w:rPr>
          <w:rFonts w:ascii="Times New Roman" w:hAnsi="Times New Roman"/>
          <w:color w:val="000000"/>
          <w:sz w:val="28"/>
          <w:szCs w:val="28"/>
        </w:rPr>
        <w:t>5. Претензионно-исковая работа, включая досудебное урегулирование споров и разногласий, представление интересов ТФОМС РС(Я) в судах.</w:t>
      </w:r>
    </w:p>
    <w:p>
      <w:pPr>
        <w:pStyle w:val="Normal"/>
        <w:ind w:left="0" w:right="0" w:firstLine="720"/>
        <w:rPr>
          <w:color w:val="000000"/>
        </w:rPr>
      </w:pPr>
      <w:bookmarkStart w:id="13" w:name="sub_10431"/>
      <w:bookmarkStart w:id="14" w:name="sub_1043"/>
      <w:bookmarkEnd w:id="13"/>
      <w:bookmarkEnd w:id="14"/>
      <w:r>
        <w:rPr>
          <w:rFonts w:ascii="Times New Roman" w:hAnsi="Times New Roman"/>
          <w:color w:val="000000"/>
          <w:sz w:val="28"/>
          <w:szCs w:val="28"/>
        </w:rPr>
        <w:t>6. Осуществление кадровой работы, включая подготовку и принятие кадровых решений.</w:t>
      </w:r>
    </w:p>
    <w:p>
      <w:pPr>
        <w:pStyle w:val="Normal"/>
        <w:ind w:left="0" w:right="0" w:firstLine="720"/>
        <w:rPr>
          <w:color w:val="000000"/>
        </w:rPr>
      </w:pPr>
      <w:bookmarkStart w:id="15" w:name="sub_10441"/>
      <w:bookmarkStart w:id="16" w:name="sub_1044"/>
      <w:bookmarkEnd w:id="15"/>
      <w:bookmarkEnd w:id="16"/>
      <w:r>
        <w:rPr>
          <w:rFonts w:ascii="Times New Roman" w:hAnsi="Times New Roman"/>
          <w:color w:val="000000"/>
          <w:sz w:val="28"/>
          <w:szCs w:val="28"/>
        </w:rPr>
        <w:t>7. Организация и проведение проверок соблюдения работниками ТФОМС РС(Я) требований к должностному поведению, исполнения ими обязанностей, соблюдения запретов и ограничений, установленных в целях противодействия коррупции.</w:t>
      </w:r>
    </w:p>
    <w:p>
      <w:pPr>
        <w:pStyle w:val="Normal"/>
        <w:ind w:left="0" w:right="0" w:firstLine="720"/>
        <w:rPr>
          <w:color w:val="000000"/>
        </w:rPr>
      </w:pPr>
      <w:bookmarkStart w:id="17" w:name="sub_10451"/>
      <w:bookmarkStart w:id="18" w:name="sub_1045"/>
      <w:bookmarkEnd w:id="17"/>
      <w:bookmarkEnd w:id="18"/>
      <w:r>
        <w:rPr>
          <w:rFonts w:ascii="Times New Roman" w:hAnsi="Times New Roman"/>
          <w:color w:val="000000"/>
          <w:sz w:val="28"/>
          <w:szCs w:val="28"/>
        </w:rPr>
        <w:t>8. Участие в разработке территориальных программ государственных гарантий бесплатного оказания гражданам медицинской помощи и определении тарифов на оплату медицинской помощи на территории Республики Саха (Якутия).</w:t>
      </w:r>
    </w:p>
    <w:p>
      <w:pPr>
        <w:pStyle w:val="Normal"/>
        <w:ind w:left="0" w:right="0" w:firstLine="720"/>
        <w:rPr>
          <w:color w:val="000000"/>
        </w:rPr>
      </w:pPr>
      <w:bookmarkStart w:id="19" w:name="sub_10461"/>
      <w:bookmarkStart w:id="20" w:name="sub_1046"/>
      <w:bookmarkEnd w:id="19"/>
      <w:bookmarkEnd w:id="20"/>
      <w:r>
        <w:rPr>
          <w:rFonts w:ascii="Times New Roman" w:hAnsi="Times New Roman"/>
          <w:color w:val="000000"/>
          <w:sz w:val="28"/>
          <w:szCs w:val="28"/>
        </w:rPr>
        <w:t>9. Заключение и реализация договора о финансовом обеспечении обязательного медицинского страхования.</w:t>
      </w:r>
    </w:p>
    <w:p>
      <w:pPr>
        <w:pStyle w:val="Normal"/>
        <w:ind w:left="0" w:right="0" w:firstLine="720"/>
        <w:rPr>
          <w:color w:val="000000"/>
        </w:rPr>
      </w:pPr>
      <w:bookmarkStart w:id="21" w:name="sub_10471"/>
      <w:bookmarkStart w:id="22" w:name="sub_1047"/>
      <w:bookmarkEnd w:id="21"/>
      <w:bookmarkEnd w:id="22"/>
      <w:r>
        <w:rPr>
          <w:rFonts w:ascii="Times New Roman" w:hAnsi="Times New Roman"/>
          <w:color w:val="000000"/>
          <w:sz w:val="28"/>
          <w:szCs w:val="28"/>
        </w:rPr>
        <w:t>10. Участие в установлении тарифов на оплату медицинской помощи.</w:t>
      </w:r>
    </w:p>
    <w:p>
      <w:pPr>
        <w:pStyle w:val="Normal"/>
        <w:ind w:left="0" w:right="0" w:firstLine="720"/>
        <w:rPr/>
      </w:pPr>
      <w:bookmarkStart w:id="23" w:name="sub_10481"/>
      <w:bookmarkStart w:id="24" w:name="sub_1048"/>
      <w:bookmarkEnd w:id="23"/>
      <w:bookmarkEnd w:id="24"/>
      <w:r>
        <w:rPr>
          <w:rFonts w:ascii="Times New Roman" w:hAnsi="Times New Roman"/>
          <w:color w:val="000000"/>
          <w:sz w:val="28"/>
          <w:szCs w:val="28"/>
        </w:rPr>
        <w:t xml:space="preserve">11. Обеспечение в пределах компетенции ТФОМС РС(Я) защиты </w:t>
      </w:r>
      <w:hyperlink r:id="rId3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государственной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4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коммерческой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и иной охраняемой законом тайны, персональных данных.</w:t>
      </w:r>
    </w:p>
    <w:p>
      <w:pPr>
        <w:pStyle w:val="Normal"/>
        <w:ind w:left="0" w:right="0" w:firstLine="720"/>
        <w:rPr>
          <w:color w:val="000000"/>
        </w:rPr>
      </w:pPr>
      <w:bookmarkStart w:id="25" w:name="sub_10491"/>
      <w:bookmarkStart w:id="26" w:name="sub_1049"/>
      <w:bookmarkEnd w:id="25"/>
      <w:bookmarkEnd w:id="26"/>
      <w:r>
        <w:rPr>
          <w:rFonts w:ascii="Times New Roman" w:hAnsi="Times New Roman"/>
          <w:color w:val="000000"/>
          <w:sz w:val="28"/>
          <w:szCs w:val="28"/>
        </w:rPr>
        <w:t>12. Учет и списание имущества, обязательств и хозяйственных операций, а также хранение и распределение материально-технических ресурсов.</w:t>
      </w:r>
    </w:p>
    <w:p>
      <w:pPr>
        <w:pStyle w:val="Normal"/>
        <w:ind w:left="0" w:right="0" w:firstLine="720"/>
        <w:rPr>
          <w:color w:val="000000"/>
        </w:rPr>
      </w:pPr>
      <w:bookmarkStart w:id="27" w:name="sub_10501"/>
      <w:bookmarkStart w:id="28" w:name="sub_1050"/>
      <w:bookmarkEnd w:id="27"/>
      <w:bookmarkEnd w:id="28"/>
      <w:r>
        <w:rPr>
          <w:rFonts w:ascii="Times New Roman" w:hAnsi="Times New Roman"/>
          <w:color w:val="000000"/>
          <w:sz w:val="28"/>
          <w:szCs w:val="28"/>
        </w:rPr>
        <w:t>13. Управление имуществом, находящимся в ТФОМС РС(Я) на праве оперативного управления.</w:t>
      </w:r>
    </w:p>
    <w:p>
      <w:pPr>
        <w:pStyle w:val="Normal"/>
        <w:ind w:left="0" w:right="0" w:firstLine="720"/>
        <w:rPr>
          <w:color w:val="000000"/>
        </w:rPr>
      </w:pPr>
      <w:bookmarkStart w:id="29" w:name="sub_10511"/>
      <w:bookmarkStart w:id="30" w:name="sub_1051"/>
      <w:bookmarkEnd w:id="29"/>
      <w:bookmarkEnd w:id="30"/>
      <w:r>
        <w:rPr>
          <w:rFonts w:ascii="Times New Roman" w:hAnsi="Times New Roman"/>
          <w:color w:val="000000"/>
          <w:sz w:val="28"/>
          <w:szCs w:val="28"/>
        </w:rPr>
        <w:t>14. Организация и осуществление закупок товаров, работ услуг для нужд ТФОМС РС (Я).</w:t>
      </w:r>
    </w:p>
    <w:p>
      <w:pPr>
        <w:pStyle w:val="Normal"/>
        <w:ind w:left="0" w:right="0" w:firstLine="720"/>
        <w:rPr>
          <w:color w:val="000000"/>
        </w:rPr>
      </w:pPr>
      <w:bookmarkStart w:id="31" w:name="sub_10521"/>
      <w:bookmarkStart w:id="32" w:name="sub_1052"/>
      <w:bookmarkEnd w:id="31"/>
      <w:bookmarkEnd w:id="32"/>
      <w:r>
        <w:rPr>
          <w:rFonts w:ascii="Times New Roman" w:hAnsi="Times New Roman"/>
          <w:color w:val="000000"/>
          <w:sz w:val="28"/>
          <w:szCs w:val="28"/>
        </w:rPr>
        <w:t>15. Внедрение и эксплуатация в пределах компетенции автоматизированных информационных систем, необходимых для реализации полномочий ТФОМС РС (Я) в сфере обязательного медицинского страхования.</w:t>
      </w:r>
    </w:p>
    <w:sectPr>
      <w:headerReference w:type="default" r:id="rId5"/>
      <w:footerReference w:type="default" r:id="rId6"/>
      <w:type w:val="nextPage"/>
      <w:pgSz w:w="11906" w:h="16800"/>
      <w:pgMar w:left="800" w:right="800" w:gutter="0" w:header="720" w:top="1440" w:footer="72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0" w:right="0" w:hanging="0"/>
      <w:rPr>
        <w:rFonts w:ascii="Arial" w:hAnsi="Arial"/>
      </w:rPr>
    </w:pPr>
    <w:r>
      <w:rPr>
        <w:rFonts w:ascii="Arial" w:hAnsi="Arial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left="0" w:right="0" w:firstLine="72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uiPriority w:val="9"/>
    <w:qFormat/>
    <w:pPr>
      <w:spacing w:before="108" w:after="108"/>
      <w:ind w:left="0" w:right="0" w:hanging="0"/>
      <w:jc w:val="center"/>
      <w:outlineLvl w:val="0"/>
    </w:pPr>
    <w:rPr>
      <w:b/>
      <w:color w:val="26282F"/>
    </w:rPr>
  </w:style>
  <w:style w:type="paragraph" w:styleId="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Style9">
    <w:name w:val="Интернет-ссылка"/>
    <w:link w:val="Style23"/>
    <w:rPr>
      <w:color w:val="0000FF"/>
      <w:u w:val="single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Style10">
    <w:name w:val="Цветовое выделение"/>
    <w:link w:val="Style24"/>
    <w:qFormat/>
    <w:rPr>
      <w:rFonts w:ascii="Times New Roman" w:hAnsi="Times New Roman"/>
      <w:b/>
      <w:color w:val="26282F"/>
      <w:sz w:val="24"/>
    </w:rPr>
  </w:style>
  <w:style w:type="character" w:styleId="Style11">
    <w:name w:val="Колонтитул"/>
    <w:link w:val="Style25"/>
    <w:qFormat/>
    <w:rPr/>
  </w:style>
  <w:style w:type="character" w:styleId="Style12">
    <w:name w:val="Заголовок"/>
    <w:link w:val="Style18"/>
    <w:qFormat/>
    <w:rPr>
      <w:rFonts w:ascii="Liberation Sans" w:hAnsi="Liberation Sans"/>
      <w:sz w:val="28"/>
    </w:rPr>
  </w:style>
  <w:style w:type="character" w:styleId="List">
    <w:name w:val="List"/>
    <w:basedOn w:val="Textbody"/>
    <w:qFormat/>
    <w:rPr/>
  </w:style>
  <w:style w:type="character" w:styleId="Style13">
    <w:name w:val="Нормальный (таблица)"/>
    <w:link w:val="Style26"/>
    <w:qFormat/>
    <w:rPr/>
  </w:style>
  <w:style w:type="character" w:styleId="Caption">
    <w:name w:val="Caption"/>
    <w:qFormat/>
    <w:rPr>
      <w:i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Textbody">
    <w:name w:val="Text body"/>
    <w:qFormat/>
    <w:rPr/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b/>
      <w:color w:val="26282F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Style14">
    <w:name w:val="Указатель"/>
    <w:link w:val="Style22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15">
    <w:name w:val="Гипертекстовая ссылка"/>
    <w:link w:val="Style27"/>
    <w:qFormat/>
    <w:rPr>
      <w:rFonts w:ascii="Times New Roman" w:hAnsi="Times New Roman"/>
      <w:b w:val="false"/>
      <w:color w:val="106BBE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Footer">
    <w:name w:val="Footer"/>
    <w:qFormat/>
    <w:rPr>
      <w:rFonts w:ascii="Times New Roman" w:hAnsi="Times New Roman"/>
      <w:sz w:val="20"/>
    </w:rPr>
  </w:style>
  <w:style w:type="character" w:styleId="Style16">
    <w:name w:val="Прижатый влево"/>
    <w:link w:val="Style29"/>
    <w:qFormat/>
    <w:rPr/>
  </w:style>
  <w:style w:type="character" w:styleId="Style17">
    <w:name w:val="Цветовое выделение для Текст"/>
    <w:link w:val="Style30"/>
    <w:qFormat/>
    <w:rPr/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character" w:styleId="Header">
    <w:name w:val="Header"/>
    <w:qFormat/>
    <w:rPr>
      <w:rFonts w:ascii="Times New Roman" w:hAnsi="Times New Roman"/>
      <w:sz w:val="20"/>
    </w:rPr>
  </w:style>
  <w:style w:type="paragraph" w:styleId="Style18">
    <w:name w:val="Заголовок"/>
    <w:basedOn w:val="Normal"/>
    <w:next w:val="Style19"/>
    <w:link w:val="Style12"/>
    <w:qFormat/>
    <w:pPr>
      <w:keepNext w:val="true"/>
      <w:spacing w:before="240" w:after="120"/>
      <w:ind w:left="0" w:right="0" w:firstLine="720"/>
    </w:pPr>
    <w:rPr>
      <w:rFonts w:ascii="Liberation Sans" w:hAnsi="Liberation Sans"/>
      <w:sz w:val="28"/>
    </w:rPr>
  </w:style>
  <w:style w:type="paragraph" w:styleId="Style19">
    <w:name w:val="Body Text"/>
    <w:basedOn w:val="Normal"/>
    <w:pPr>
      <w:spacing w:lineRule="auto" w:line="276" w:before="0" w:after="140"/>
      <w:ind w:left="0" w:right="0" w:firstLine="720"/>
    </w:pPr>
    <w:rPr/>
  </w:style>
  <w:style w:type="paragraph" w:styleId="Style20">
    <w:name w:val="List"/>
    <w:basedOn w:val="Style19"/>
    <w:pPr>
      <w:spacing w:lineRule="auto" w:line="276" w:before="0" w:after="140"/>
      <w:ind w:left="0" w:right="0" w:firstLine="720"/>
    </w:pPr>
    <w:rPr/>
  </w:style>
  <w:style w:type="paragraph" w:styleId="Style21">
    <w:name w:val="Caption"/>
    <w:basedOn w:val="Normal"/>
    <w:qFormat/>
    <w:pPr>
      <w:spacing w:before="120" w:after="120"/>
      <w:ind w:left="0" w:right="0" w:firstLine="720"/>
    </w:pPr>
    <w:rPr>
      <w:i/>
    </w:rPr>
  </w:style>
  <w:style w:type="paragraph" w:styleId="Style22">
    <w:name w:val="Указатель"/>
    <w:basedOn w:val="Normal"/>
    <w:link w:val="Style14"/>
    <w:qFormat/>
    <w:pPr>
      <w:ind w:left="0" w:right="0" w:firstLine="720"/>
    </w:pPr>
    <w:rPr/>
  </w:style>
  <w:style w:type="paragraph" w:styleId="21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left="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left="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3">
    <w:name w:val="Интернет-ссылка"/>
    <w:link w:val="Style9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80"/>
      <w:spacing w:val="0"/>
      <w:kern w:val="0"/>
      <w:sz w:val="24"/>
      <w:szCs w:val="20"/>
      <w:u w:val="single"/>
      <w:lang w:val="ru-RU" w:eastAsia="zh-CN" w:bidi="hi-IN"/>
    </w:rPr>
  </w:style>
  <w:style w:type="paragraph" w:styleId="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left="10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left="1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4">
    <w:name w:val="Цветовое выделение"/>
    <w:link w:val="Style10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/>
      <w:color w:val="26282F"/>
      <w:spacing w:val="0"/>
      <w:kern w:val="0"/>
      <w:sz w:val="24"/>
      <w:szCs w:val="20"/>
      <w:lang w:val="ru-RU" w:eastAsia="zh-CN" w:bidi="hi-IN"/>
    </w:rPr>
  </w:style>
  <w:style w:type="paragraph" w:styleId="Style25">
    <w:name w:val="Колонтитул"/>
    <w:link w:val="Style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6">
    <w:name w:val="Нормальный (таблица)"/>
    <w:basedOn w:val="Normal"/>
    <w:next w:val="Normal"/>
    <w:link w:val="Style13"/>
    <w:qFormat/>
    <w:pPr>
      <w:ind w:left="0" w:right="0" w:hanging="0"/>
    </w:pPr>
    <w:rPr/>
  </w:style>
  <w:style w:type="paragraph" w:styleId="31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left="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">
    <w:name w:val="Hyperlink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left="1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left="1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7">
    <w:name w:val="Гипертекстовая ссылка"/>
    <w:link w:val="Style15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 w:val="false"/>
      <w:color w:val="106BBE"/>
      <w:spacing w:val="0"/>
      <w:kern w:val="0"/>
      <w:sz w:val="24"/>
      <w:szCs w:val="20"/>
      <w:lang w:val="ru-RU" w:eastAsia="zh-CN" w:bidi="hi-IN"/>
    </w:rPr>
  </w:style>
  <w:style w:type="paragraph" w:styleId="51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left="8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8">
    <w:name w:val="Footer"/>
    <w:basedOn w:val="Normal"/>
    <w:next w:val="Normal"/>
    <w:pPr>
      <w:ind w:left="0" w:right="0" w:hanging="0"/>
      <w:jc w:val="left"/>
    </w:pPr>
    <w:rPr>
      <w:rFonts w:ascii="Times New Roman" w:hAnsi="Times New Roman"/>
      <w:sz w:val="20"/>
    </w:rPr>
  </w:style>
  <w:style w:type="paragraph" w:styleId="Style29">
    <w:name w:val="Прижатый влево"/>
    <w:basedOn w:val="Normal"/>
    <w:next w:val="Normal"/>
    <w:link w:val="Style16"/>
    <w:qFormat/>
    <w:pPr>
      <w:ind w:left="0" w:right="0" w:hanging="0"/>
      <w:jc w:val="left"/>
    </w:pPr>
    <w:rPr/>
  </w:style>
  <w:style w:type="paragraph" w:styleId="Style30">
    <w:name w:val="Цветовое выделение для Текст"/>
    <w:link w:val="Style17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31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32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Style33">
    <w:name w:val="Header"/>
    <w:basedOn w:val="Normal"/>
    <w:next w:val="Normal"/>
    <w:pPr>
      <w:ind w:left="0" w:right="0" w:hanging="0"/>
      <w:jc w:val="center"/>
    </w:pPr>
    <w:rPr>
      <w:rFonts w:ascii="Times New Roman" w:hAnsi="Times New Roman"/>
      <w:sz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404859231/0" TargetMode="External"/><Relationship Id="rId3" Type="http://schemas.openxmlformats.org/officeDocument/2006/relationships/hyperlink" Target="https://internet.garant.ru/document/redirect/10102673/5" TargetMode="External"/><Relationship Id="rId4" Type="http://schemas.openxmlformats.org/officeDocument/2006/relationships/hyperlink" Target="https://internet.garant.ru/document/redirect/12136454/0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LibreOffice/7.3.7.2$Linux_X86_64 LibreOffice_project/30$Build-2</Application>
  <AppVersion>15.0000</AppVersion>
  <Pages>2</Pages>
  <Words>268</Words>
  <Characters>1992</Characters>
  <CharactersWithSpaces>2243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2023-07-27T10:47:30Z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